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A4E" w:rsidRDefault="00FD3E0C">
      <w:pPr>
        <w:spacing w:after="139" w:line="240" w:lineRule="auto"/>
        <w:ind w:firstLine="0"/>
        <w:jc w:val="left"/>
      </w:pPr>
      <w:bookmarkStart w:id="0" w:name="_GoBack"/>
      <w:bookmarkEnd w:id="0"/>
      <w:r>
        <w:rPr>
          <w:rFonts w:ascii="Calibri" w:eastAsia="Calibri" w:hAnsi="Calibri" w:cs="Calibri"/>
          <w:noProof/>
          <w:position w:val="-1"/>
        </w:rPr>
        <w:drawing>
          <wp:inline distT="0" distB="0" distL="0" distR="0">
            <wp:extent cx="1511808" cy="573024"/>
            <wp:effectExtent l="0" t="0" r="0" b="0"/>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4"/>
                    <a:stretch>
                      <a:fillRect/>
                    </a:stretch>
                  </pic:blipFill>
                  <pic:spPr>
                    <a:xfrm>
                      <a:off x="0" y="0"/>
                      <a:ext cx="1511808" cy="573024"/>
                    </a:xfrm>
                    <a:prstGeom prst="rect">
                      <a:avLst/>
                    </a:prstGeom>
                  </pic:spPr>
                </pic:pic>
              </a:graphicData>
            </a:graphic>
          </wp:inline>
        </w:drawing>
      </w:r>
      <w:r>
        <w:rPr>
          <w:rFonts w:ascii="Calibri" w:eastAsia="Calibri" w:hAnsi="Calibri" w:cs="Calibri"/>
          <w:b/>
          <w:color w:val="FF0000"/>
        </w:rPr>
        <w:t xml:space="preserve"> </w:t>
      </w:r>
    </w:p>
    <w:p w:rsidR="006B1A4E" w:rsidRDefault="00FD3E0C">
      <w:pPr>
        <w:spacing w:after="214" w:line="240" w:lineRule="auto"/>
        <w:ind w:left="5" w:firstLine="0"/>
        <w:jc w:val="left"/>
      </w:pPr>
      <w:r>
        <w:rPr>
          <w:rFonts w:ascii="Calibri" w:eastAsia="Calibri" w:hAnsi="Calibri" w:cs="Calibri"/>
          <w:b/>
          <w:color w:val="FF0000"/>
          <w:sz w:val="16"/>
        </w:rPr>
        <w:t xml:space="preserve"> </w:t>
      </w:r>
    </w:p>
    <w:p w:rsidR="006B1A4E" w:rsidRDefault="00FD3E0C">
      <w:pPr>
        <w:spacing w:after="211" w:line="240" w:lineRule="auto"/>
        <w:ind w:left="5" w:firstLine="0"/>
        <w:jc w:val="left"/>
      </w:pPr>
      <w:r>
        <w:rPr>
          <w:rFonts w:ascii="Calibri" w:eastAsia="Calibri" w:hAnsi="Calibri" w:cs="Calibri"/>
          <w:b/>
          <w:color w:val="FF0000"/>
          <w:sz w:val="24"/>
        </w:rPr>
        <w:t xml:space="preserve">Sous embargo jusqu'à 15h35 GMT le 25 août </w:t>
      </w:r>
    </w:p>
    <w:p w:rsidR="006B1A4E" w:rsidRDefault="00FD3E0C">
      <w:pPr>
        <w:spacing w:after="23" w:line="240" w:lineRule="auto"/>
        <w:ind w:left="5" w:firstLine="0"/>
        <w:jc w:val="left"/>
      </w:pPr>
      <w:r>
        <w:rPr>
          <w:rFonts w:ascii="Calibri" w:eastAsia="Calibri" w:hAnsi="Calibri" w:cs="Calibri"/>
          <w:noProof/>
        </w:rPr>
        <mc:AlternateContent>
          <mc:Choice Requires="wpg">
            <w:drawing>
              <wp:inline distT="0" distB="0" distL="0" distR="0">
                <wp:extent cx="5833872" cy="6096"/>
                <wp:effectExtent l="0" t="0" r="0" b="0"/>
                <wp:docPr id="1670" name="Group 1670"/>
                <wp:cNvGraphicFramePr/>
                <a:graphic xmlns:a="http://schemas.openxmlformats.org/drawingml/2006/main">
                  <a:graphicData uri="http://schemas.microsoft.com/office/word/2010/wordprocessingGroup">
                    <wpg:wgp>
                      <wpg:cNvGrpSpPr/>
                      <wpg:grpSpPr>
                        <a:xfrm>
                          <a:off x="0" y="0"/>
                          <a:ext cx="5833872" cy="6096"/>
                          <a:chOff x="0" y="0"/>
                          <a:chExt cx="5833872" cy="6096"/>
                        </a:xfrm>
                      </wpg:grpSpPr>
                      <wps:wsp>
                        <wps:cNvPr id="1904" name="Shape 1904"/>
                        <wps:cNvSpPr/>
                        <wps:spPr>
                          <a:xfrm>
                            <a:off x="0" y="0"/>
                            <a:ext cx="5833872" cy="9144"/>
                          </a:xfrm>
                          <a:custGeom>
                            <a:avLst/>
                            <a:gdLst/>
                            <a:ahLst/>
                            <a:cxnLst/>
                            <a:rect l="0" t="0" r="0" b="0"/>
                            <a:pathLst>
                              <a:path w="5833872" h="9144">
                                <a:moveTo>
                                  <a:pt x="0" y="0"/>
                                </a:moveTo>
                                <a:lnTo>
                                  <a:pt x="5833872" y="0"/>
                                </a:lnTo>
                                <a:lnTo>
                                  <a:pt x="5833872" y="9144"/>
                                </a:lnTo>
                                <a:lnTo>
                                  <a:pt x="0" y="9144"/>
                                </a:lnTo>
                                <a:lnTo>
                                  <a:pt x="0" y="0"/>
                                </a:lnTo>
                              </a:path>
                            </a:pathLst>
                          </a:custGeom>
                          <a:ln w="0" cap="flat">
                            <a:miter lim="127000"/>
                          </a:ln>
                        </wps:spPr>
                        <wps:style>
                          <a:lnRef idx="0">
                            <a:srgbClr val="000000"/>
                          </a:lnRef>
                          <a:fillRef idx="1">
                            <a:srgbClr val="005DAA"/>
                          </a:fillRef>
                          <a:effectRef idx="0">
                            <a:scrgbClr r="0" g="0" b="0"/>
                          </a:effectRef>
                          <a:fontRef idx="none"/>
                        </wps:style>
                        <wps:bodyPr/>
                      </wps:wsp>
                    </wpg:wgp>
                  </a:graphicData>
                </a:graphic>
              </wp:inline>
            </w:drawing>
          </mc:Choice>
          <mc:Fallback>
            <w:pict>
              <v:group w14:anchorId="1CD5724F" id="Group 1670" o:spid="_x0000_s1026" style="width:459.35pt;height:.5pt;mso-position-horizontal-relative:char;mso-position-vertical-relative:line" coordsize="583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">
                <v:shape id="Shape 1904" o:spid="_x0000_s1027" style="position:absolute;width:58338;height:91;visibility:visible;mso-wrap-style:square;v-text-anchor:top" coordsize="58338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PesIA&#10;AADdAAAADwAAAGRycy9kb3ducmV2LnhtbERPTWsCMRC9C/6HMIIXqVmltnZrFCm09ODFtb1PN9PN&#10;0s1kSdI1/feNIHibx/uczS7ZTgzkQ+tYwWJegCCunW65UfBxer1bgwgRWWPnmBT8UYDddjzaYKnd&#10;mY80VLEROYRDiQpMjH0pZagNWQxz1xNn7tt5izFD30jt8ZzDbSeXRfEgLbacGwz29GKo/ql+rYIh&#10;fX1Ws5l/PKy4eTP1Op0CG6Wmk7R/BhEpxZv46n7Xef5TcQ+Xb/IJ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uo96wgAAAN0AAAAPAAAAAAAAAAAAAAAAAJgCAABkcnMvZG93&#10;bnJldi54bWxQSwUGAAAAAAQABAD1AAAAhwMAAAAA&#10;" path="m,l5833872,r,9144l,9144,,e" fillcolor="#005daa" stroked="f" strokeweight="0">
                  <v:stroke miterlimit="83231f" joinstyle="miter"/>
                  <v:path arrowok="t" textboxrect="0,0,5833872,9144"/>
                </v:shape>
                <w10:anchorlock/>
              </v:group>
            </w:pict>
          </mc:Fallback>
        </mc:AlternateContent>
      </w:r>
    </w:p>
    <w:p w:rsidR="006B1A4E" w:rsidRDefault="00FD3E0C">
      <w:pPr>
        <w:spacing w:after="45" w:line="240" w:lineRule="auto"/>
        <w:ind w:firstLine="0"/>
        <w:jc w:val="center"/>
      </w:pPr>
      <w:r>
        <w:rPr>
          <w:rFonts w:ascii="Arial" w:eastAsia="Arial" w:hAnsi="Arial" w:cs="Arial"/>
          <w:b/>
          <w:color w:val="005DAA"/>
          <w:sz w:val="40"/>
        </w:rPr>
        <w:t xml:space="preserve">COMMUNIQUÉ DE PRESSE </w:t>
      </w:r>
    </w:p>
    <w:p w:rsidR="006B1A4E" w:rsidRDefault="00FD3E0C">
      <w:pPr>
        <w:spacing w:after="166" w:line="240" w:lineRule="auto"/>
        <w:ind w:left="5" w:firstLine="0"/>
        <w:jc w:val="left"/>
      </w:pPr>
      <w:r>
        <w:rPr>
          <w:b/>
        </w:rPr>
        <w:t xml:space="preserve"> </w:t>
      </w:r>
      <w:r>
        <w:rPr>
          <w:rFonts w:ascii="Calibri" w:eastAsia="Calibri" w:hAnsi="Calibri" w:cs="Calibri"/>
          <w:noProof/>
        </w:rPr>
        <mc:AlternateContent>
          <mc:Choice Requires="wpg">
            <w:drawing>
              <wp:inline distT="0" distB="0" distL="0" distR="0">
                <wp:extent cx="5833872" cy="6096"/>
                <wp:effectExtent l="0" t="0" r="0" b="0"/>
                <wp:docPr id="1671" name="Group 1671"/>
                <wp:cNvGraphicFramePr/>
                <a:graphic xmlns:a="http://schemas.openxmlformats.org/drawingml/2006/main">
                  <a:graphicData uri="http://schemas.microsoft.com/office/word/2010/wordprocessingGroup">
                    <wpg:wgp>
                      <wpg:cNvGrpSpPr/>
                      <wpg:grpSpPr>
                        <a:xfrm>
                          <a:off x="0" y="0"/>
                          <a:ext cx="5833872" cy="6096"/>
                          <a:chOff x="0" y="0"/>
                          <a:chExt cx="5833872" cy="6096"/>
                        </a:xfrm>
                      </wpg:grpSpPr>
                      <wps:wsp>
                        <wps:cNvPr id="1905" name="Shape 1905"/>
                        <wps:cNvSpPr/>
                        <wps:spPr>
                          <a:xfrm>
                            <a:off x="0" y="0"/>
                            <a:ext cx="5833872" cy="9144"/>
                          </a:xfrm>
                          <a:custGeom>
                            <a:avLst/>
                            <a:gdLst/>
                            <a:ahLst/>
                            <a:cxnLst/>
                            <a:rect l="0" t="0" r="0" b="0"/>
                            <a:pathLst>
                              <a:path w="5833872" h="9144">
                                <a:moveTo>
                                  <a:pt x="0" y="0"/>
                                </a:moveTo>
                                <a:lnTo>
                                  <a:pt x="5833872" y="0"/>
                                </a:lnTo>
                                <a:lnTo>
                                  <a:pt x="5833872" y="9144"/>
                                </a:lnTo>
                                <a:lnTo>
                                  <a:pt x="0" y="9144"/>
                                </a:lnTo>
                                <a:lnTo>
                                  <a:pt x="0" y="0"/>
                                </a:lnTo>
                              </a:path>
                            </a:pathLst>
                          </a:custGeom>
                          <a:ln w="0" cap="flat">
                            <a:miter lim="127000"/>
                          </a:ln>
                        </wps:spPr>
                        <wps:style>
                          <a:lnRef idx="0">
                            <a:srgbClr val="000000"/>
                          </a:lnRef>
                          <a:fillRef idx="1">
                            <a:srgbClr val="005DAA"/>
                          </a:fillRef>
                          <a:effectRef idx="0">
                            <a:scrgbClr r="0" g="0" b="0"/>
                          </a:effectRef>
                          <a:fontRef idx="none"/>
                        </wps:style>
                        <wps:bodyPr/>
                      </wps:wsp>
                    </wpg:wgp>
                  </a:graphicData>
                </a:graphic>
              </wp:inline>
            </w:drawing>
          </mc:Choice>
          <mc:Fallback>
            <w:pict>
              <v:group w14:anchorId="7229C5F1" id="Group 1671" o:spid="_x0000_s1026" style="width:459.35pt;height:.5pt;mso-position-horizontal-relative:char;mso-position-vertical-relative:line" coordsize="583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">
                <v:shape id="Shape 1905" o:spid="_x0000_s1027" style="position:absolute;width:58338;height:91;visibility:visible;mso-wrap-style:square;v-text-anchor:top" coordsize="58338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q4cIA&#10;AADdAAAADwAAAGRycy9kb3ducmV2LnhtbERPS2sCMRC+C/0PYQpepGYt+OjWKFKoeOilq96nm+lm&#10;6WayJOka/70RCr3Nx/ec9TbZTgzkQ+tYwWxagCCunW65UXA6vj+tQISIrLFzTAquFGC7eRitsdTu&#10;wp80VLEROYRDiQpMjH0pZagNWQxT1xNn7tt5izFD30jt8ZLDbSefi2IhLbacGwz29Gao/ql+rYIh&#10;fZ2rycQvP+bc7E29SsfARqnxY9q9goiU4r/4z33Qef5LMYf7N/kE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9irhwgAAAN0AAAAPAAAAAAAAAAAAAAAAAJgCAABkcnMvZG93&#10;bnJldi54bWxQSwUGAAAAAAQABAD1AAAAhwMAAAAA&#10;" path="m,l5833872,r,9144l,9144,,e" fillcolor="#005daa" stroked="f" strokeweight="0">
                  <v:stroke miterlimit="83231f" joinstyle="miter"/>
                  <v:path arrowok="t" textboxrect="0,0,5833872,9144"/>
                </v:shape>
                <w10:anchorlock/>
              </v:group>
            </w:pict>
          </mc:Fallback>
        </mc:AlternateContent>
      </w:r>
      <w:r>
        <w:rPr>
          <w:b/>
        </w:rPr>
        <w:t xml:space="preserve"> </w:t>
      </w:r>
    </w:p>
    <w:p w:rsidR="006B1A4E" w:rsidRDefault="00FD3E0C">
      <w:pPr>
        <w:spacing w:after="0" w:line="232" w:lineRule="auto"/>
        <w:ind w:left="2139" w:right="2017" w:firstLine="0"/>
        <w:jc w:val="center"/>
      </w:pPr>
      <w:r>
        <w:rPr>
          <w:b/>
          <w:sz w:val="24"/>
        </w:rPr>
        <w:t xml:space="preserve">Le Rotary félicite la Région africaine  pour l’éradication du poliovirus sauvage </w:t>
      </w:r>
    </w:p>
    <w:p w:rsidR="006B1A4E" w:rsidRDefault="00FD3E0C">
      <w:pPr>
        <w:spacing w:after="0" w:line="240" w:lineRule="auto"/>
        <w:ind w:firstLine="0"/>
        <w:jc w:val="center"/>
      </w:pPr>
      <w:r>
        <w:rPr>
          <w:b/>
          <w:sz w:val="24"/>
        </w:rPr>
        <w:t xml:space="preserve"> </w:t>
      </w:r>
    </w:p>
    <w:p w:rsidR="006B1A4E" w:rsidRDefault="00FD3E0C">
      <w:pPr>
        <w:spacing w:after="0" w:line="230" w:lineRule="auto"/>
        <w:ind w:left="1271" w:right="1157" w:firstLine="0"/>
        <w:jc w:val="center"/>
      </w:pPr>
      <w:r>
        <w:rPr>
          <w:i/>
          <w:sz w:val="24"/>
        </w:rPr>
        <w:t xml:space="preserve">Cinq des six régions de l'Organisation mondiale de la Santé  sont maintenant exemptes du poliovirus sauvage. </w:t>
      </w:r>
    </w:p>
    <w:p w:rsidR="006B1A4E" w:rsidRDefault="00FD3E0C">
      <w:pPr>
        <w:spacing w:after="0" w:line="240" w:lineRule="auto"/>
        <w:ind w:firstLine="0"/>
        <w:jc w:val="center"/>
      </w:pPr>
      <w:r>
        <w:rPr>
          <w:b/>
          <w:sz w:val="24"/>
        </w:rPr>
        <w:t xml:space="preserve"> </w:t>
      </w:r>
    </w:p>
    <w:p w:rsidR="006B1A4E" w:rsidRDefault="00FD3E0C">
      <w:pPr>
        <w:spacing w:after="0" w:line="240" w:lineRule="auto"/>
        <w:ind w:firstLine="0"/>
        <w:jc w:val="center"/>
      </w:pPr>
      <w:r>
        <w:rPr>
          <w:b/>
          <w:sz w:val="24"/>
        </w:rPr>
        <w:t xml:space="preserve"> </w:t>
      </w:r>
    </w:p>
    <w:p w:rsidR="006B1A4E" w:rsidRDefault="00FD3E0C">
      <w:r>
        <w:rPr>
          <w:b/>
        </w:rPr>
        <w:t>EVANSTON, USA (25 août 2020)</w:t>
      </w:r>
      <w:r>
        <w:t xml:space="preserve"> - Le Rotary et ses partenaires de l'Initiative mondiale pour l'éradication de la polio (IMEP) sont fiers d'annoncer un accomplissement historique en matière de santé publique, puisque la Région africaine de l'Organisation mondiale de la Santé est désormai</w:t>
      </w:r>
      <w:r>
        <w:t xml:space="preserve">s certifiée exempte de poliovirus sauvage. </w:t>
      </w:r>
    </w:p>
    <w:p w:rsidR="006B1A4E" w:rsidRDefault="00FD3E0C">
      <w:r>
        <w:t xml:space="preserve">Cette certification intervient quatre ans après que le Nigeria – le dernier pays d'Afrique où la polio est endémique – ait enregistré un cas de poliovirus sauvage, après des décennies d'efforts déployés </w:t>
      </w:r>
      <w:proofErr w:type="gramStart"/>
      <w:r>
        <w:t>par</w:t>
      </w:r>
      <w:proofErr w:type="gramEnd"/>
      <w:r>
        <w:t xml:space="preserve"> les p</w:t>
      </w:r>
      <w:r>
        <w:t>artenaires de l'IMEP, les dirigeants locaux et nationaux, et les professionnels de la santé de toute la Région africaine. Au cours de ces efforts, 9 milliards de doses de vaccin oral contre la polio ont été administrées, des centaines de millions d'enfants</w:t>
      </w:r>
      <w:r>
        <w:t xml:space="preserve"> ont été vaccinés et 1,8 million de cas de poliovirus sauvage ont été évités dans toute la région. </w:t>
      </w:r>
    </w:p>
    <w:p w:rsidR="006B1A4E" w:rsidRDefault="00FD3E0C">
      <w:r>
        <w:t>L'annonce d'aujourd'hui est en partie le résultat des actions cumulées du Rotary et de ses membres, qui ont contribué à hauteur de près de 890 millions de d</w:t>
      </w:r>
      <w:r>
        <w:t xml:space="preserve">ollars - et d'innombrables heures de bénévolat - à l'élimination de la polio dans la Région africaine. </w:t>
      </w:r>
    </w:p>
    <w:p w:rsidR="006B1A4E" w:rsidRDefault="00FD3E0C">
      <w:r>
        <w:t>« Face à une pandémie, le monde a eu très peu de bonnes nouvelles à célébrer en matière de santé publique cette année, et les défis à relever sont énorm</w:t>
      </w:r>
      <w:r>
        <w:t>es »</w:t>
      </w:r>
      <w:r>
        <w:rPr>
          <w:b/>
        </w:rPr>
        <w:t xml:space="preserve">, a déclaré le président du Rotary International, Holger </w:t>
      </w:r>
      <w:proofErr w:type="spellStart"/>
      <w:r>
        <w:rPr>
          <w:b/>
        </w:rPr>
        <w:t>Knaack</w:t>
      </w:r>
      <w:proofErr w:type="spellEnd"/>
      <w:r>
        <w:t>. « C'est pourquoi nous devons reconnaître cette grande réussite et féliciter toutes les personnes qui ont joué un rôle important dans l'éradication du poliovirus sauvage dans la Région afr</w:t>
      </w:r>
      <w:r>
        <w:t xml:space="preserve">icaine. Il a fallu des efforts considérables et un partenariat sur de nombreuses années. Je suis particulièrement reconnaissant envers les membres du Rotary à travers l'Afrique et le monde entier qui se consacrent à faire de la polio une maladie du passé. </w:t>
      </w:r>
      <w:r>
        <w:t xml:space="preserve">» </w:t>
      </w:r>
    </w:p>
    <w:p w:rsidR="006B1A4E" w:rsidRDefault="00FD3E0C">
      <w:pPr>
        <w:spacing w:after="0"/>
      </w:pPr>
      <w:r>
        <w:t>La route qui a mené à la certification de l’éradication du poliovirus sauvage dans la Région africaine a été marquée par le dévouement des professionnels de la santé - principalement des femmes – se déplaçant à pied, en bateau, à vélo et en bus, trouvan</w:t>
      </w:r>
      <w:r>
        <w:t>t des stratégies innovantes pour vacciner les enfants au milieu des conflits et de l'insécurité, réalisant des activités de surveillance des maladies pour tester les cas de paralysie et vérifier l'absence du virus dans les eaux usées, ainsi que l’implicati</w:t>
      </w:r>
      <w:r>
        <w:t xml:space="preserve">on des dirigeants des 47 pays de la Région africaine. </w:t>
      </w:r>
    </w:p>
    <w:p w:rsidR="006B1A4E" w:rsidRDefault="00FD3E0C">
      <w:r>
        <w:lastRenderedPageBreak/>
        <w:t>« Nous avons travaillé avec acharnement à cet accomplissement depuis 1996, lorsque le Rotary et ses partenaires de l'IMEP se sont joints à Nelson Mandela pour mobiliser les dirigeants du continent afin</w:t>
      </w:r>
      <w:r>
        <w:t xml:space="preserve"> qu'ils s'engagent à vacciner chaque enfant contre la polio », </w:t>
      </w:r>
      <w:r>
        <w:rPr>
          <w:b/>
        </w:rPr>
        <w:t xml:space="preserve">a déclaré le Dr </w:t>
      </w:r>
      <w:proofErr w:type="spellStart"/>
      <w:r>
        <w:rPr>
          <w:b/>
        </w:rPr>
        <w:t>Tunji</w:t>
      </w:r>
      <w:proofErr w:type="spellEnd"/>
      <w:r>
        <w:rPr>
          <w:b/>
        </w:rPr>
        <w:t xml:space="preserve"> </w:t>
      </w:r>
      <w:proofErr w:type="spellStart"/>
      <w:r>
        <w:rPr>
          <w:b/>
        </w:rPr>
        <w:t>Funsho</w:t>
      </w:r>
      <w:proofErr w:type="spellEnd"/>
      <w:r>
        <w:rPr>
          <w:b/>
        </w:rPr>
        <w:t xml:space="preserve">, président de la commission nationale </w:t>
      </w:r>
      <w:proofErr w:type="spellStart"/>
      <w:r>
        <w:rPr>
          <w:b/>
        </w:rPr>
        <w:t>PolioPlus</w:t>
      </w:r>
      <w:proofErr w:type="spellEnd"/>
      <w:r>
        <w:rPr>
          <w:b/>
        </w:rPr>
        <w:t xml:space="preserve"> du Rotary au Nigeria</w:t>
      </w:r>
      <w:r>
        <w:t>. « Nous avons encore un travail important à faire, mais cette réussite montre qu'avec de la col</w:t>
      </w:r>
      <w:r>
        <w:t xml:space="preserve">laboration et un soutien politique et financier, l'éradication mondiale de la polio est possible. » </w:t>
      </w:r>
    </w:p>
    <w:p w:rsidR="006B1A4E" w:rsidRDefault="00FD3E0C">
      <w:r>
        <w:t>Les efforts de vaccination contre la polio dans toute la Région africaine doivent se poursuivre. Les vaccinations de routine doivent être renforcées pour m</w:t>
      </w:r>
      <w:r>
        <w:t>aintenir des niveaux d'immunité élevés afin que le poliovirus sauvage ne revienne pas et que les enfants soient protégés contre les rares cas de poliovirus d'origine vaccinale. Le virus sauvage continue de circuler en Afghanistan et au Pakistan, et tant qu</w:t>
      </w:r>
      <w:r>
        <w:t xml:space="preserve">'il circule quelque part, tous les enfants sont en danger.   </w:t>
      </w:r>
    </w:p>
    <w:p w:rsidR="006B1A4E" w:rsidRDefault="00FD3E0C">
      <w:r>
        <w:t>Les quelque 32 000 membres du Rotary en Afrique ont joué un rôle essentiel pour aider la région à obtenir sa certification pour le poliovirus sauvage, en organisant des manifestations pour collecter des fonds et sensibiliser à la polio, et en travaillant a</w:t>
      </w:r>
      <w:r>
        <w:t>vec les gouvernements du monde entier, nationaux et locaux, pour obtenir des fonds et un soutien en faveur de l'éradication de la polio. Les membres du Rotary ont donné de leur temps et de leur argent pour soutenir l'éradication de la polio, priorité absol</w:t>
      </w:r>
      <w:r>
        <w:t xml:space="preserve">ue de notre organisation. </w:t>
      </w:r>
    </w:p>
    <w:p w:rsidR="006B1A4E" w:rsidRDefault="00FD3E0C">
      <w:pPr>
        <w:spacing w:line="240" w:lineRule="auto"/>
        <w:ind w:left="5" w:firstLine="0"/>
        <w:jc w:val="left"/>
      </w:pPr>
      <w:r>
        <w:t xml:space="preserve"> </w:t>
      </w:r>
    </w:p>
    <w:p w:rsidR="006B1A4E" w:rsidRDefault="00FD3E0C">
      <w:pPr>
        <w:spacing w:line="240" w:lineRule="auto"/>
        <w:ind w:right="-15"/>
        <w:jc w:val="left"/>
      </w:pPr>
      <w:r>
        <w:rPr>
          <w:b/>
        </w:rPr>
        <w:t xml:space="preserve">À propos du Rotary </w:t>
      </w:r>
    </w:p>
    <w:p w:rsidR="006B1A4E" w:rsidRDefault="00FD3E0C">
      <w:r>
        <w:rPr>
          <w:color w:val="0562C1"/>
          <w:u w:val="single" w:color="0562C1"/>
        </w:rPr>
        <w:t>Le Rotary</w:t>
      </w:r>
      <w:r>
        <w:t xml:space="preserve"> est un réseau mondial de dirigeants bénévoles qui se consacrent aux défis humanitaires les plus urgents. Le Rotary connecte 1,2 million de membres dans plus de 35 000 Rotary clubs dans plus de 200 </w:t>
      </w:r>
      <w:r>
        <w:t xml:space="preserve">pays et zones géographiques. Leurs efforts permettent d’améliorer les conditions de vie aux niveaux local et international, qu'il s'agisse de personnes dans le besoin dans leur propre communauté ou d'œuvrer pour un monde sans polio. </w:t>
      </w:r>
    </w:p>
    <w:p w:rsidR="006B1A4E" w:rsidRDefault="00FD3E0C">
      <w:pPr>
        <w:spacing w:line="240" w:lineRule="auto"/>
        <w:ind w:right="-15"/>
        <w:jc w:val="left"/>
      </w:pPr>
      <w:r>
        <w:rPr>
          <w:b/>
        </w:rPr>
        <w:t xml:space="preserve">À propos du Rotary et </w:t>
      </w:r>
      <w:r>
        <w:rPr>
          <w:b/>
        </w:rPr>
        <w:t xml:space="preserve">de la polio </w:t>
      </w:r>
    </w:p>
    <w:p w:rsidR="006B1A4E" w:rsidRDefault="00FD3E0C">
      <w:r>
        <w:t xml:space="preserve">Depuis le lancement de son programme d'éradication de la polio, </w:t>
      </w:r>
      <w:proofErr w:type="spellStart"/>
      <w:r>
        <w:t>PolioPlus</w:t>
      </w:r>
      <w:proofErr w:type="spellEnd"/>
      <w:r>
        <w:t>, en 1985, le Rotary a contribué à hauteur de plus de 2,1 milliards de dollars à la lutte contre la polio, et d'innombrables heures de bénévolat. En 1988, le Rotary est r</w:t>
      </w:r>
      <w:r>
        <w:t xml:space="preserve">ejoint dans son combat contre la poliomyélite par l'Organisation mondiale de la Santé, l'UNICEF et le Centre américain pour la prévention et le contrôle des maladies. Par la suite, par La Fondation Bill &amp; Melinda Gates et </w:t>
      </w:r>
      <w:proofErr w:type="spellStart"/>
      <w:r>
        <w:t>Gavi</w:t>
      </w:r>
      <w:proofErr w:type="spellEnd"/>
      <w:r>
        <w:t xml:space="preserve">, l'Alliance pour les Vaccins </w:t>
      </w:r>
      <w:r>
        <w:t>se rallient également à la cause. Lorsque l'initiative a été lancée, il y avait 350 000 cas de polio chaque année. Aujourd'hui, le nombre de cas a chuté de plus de 99,9 %. Pour en savoir plus sur le Rotary et sa priorité, l'éradication de la polio, consult</w:t>
      </w:r>
      <w:r>
        <w:t xml:space="preserve">er </w:t>
      </w:r>
      <w:r>
        <w:rPr>
          <w:color w:val="0562C1"/>
          <w:u w:val="single" w:color="0562C1"/>
        </w:rPr>
        <w:t>rotary.org</w:t>
      </w:r>
      <w:r>
        <w:t xml:space="preserve"> et </w:t>
      </w:r>
      <w:r>
        <w:rPr>
          <w:color w:val="0562C1"/>
          <w:u w:val="single" w:color="0562C1"/>
        </w:rPr>
        <w:t>endpolio.org</w:t>
      </w:r>
      <w:r>
        <w:t xml:space="preserve">. </w:t>
      </w:r>
    </w:p>
    <w:p w:rsidR="006B1A4E" w:rsidRDefault="00FD3E0C">
      <w:pPr>
        <w:spacing w:after="171" w:line="240" w:lineRule="auto"/>
        <w:ind w:left="5" w:firstLine="0"/>
        <w:jc w:val="left"/>
      </w:pPr>
      <w:r>
        <w:t xml:space="preserve"> </w:t>
      </w:r>
    </w:p>
    <w:p w:rsidR="006B1A4E" w:rsidRDefault="00FD3E0C">
      <w:pPr>
        <w:spacing w:after="166" w:line="240" w:lineRule="auto"/>
        <w:ind w:firstLine="0"/>
        <w:jc w:val="center"/>
      </w:pPr>
      <w:r>
        <w:t>###</w:t>
      </w:r>
      <w:r>
        <w:rPr>
          <w:rFonts w:ascii="Calibri" w:eastAsia="Calibri" w:hAnsi="Calibri" w:cs="Calibri"/>
        </w:rPr>
        <w:t xml:space="preserve"> </w:t>
      </w:r>
    </w:p>
    <w:p w:rsidR="006B1A4E" w:rsidRDefault="00FD3E0C">
      <w:pPr>
        <w:spacing w:after="0" w:line="240" w:lineRule="auto"/>
        <w:ind w:firstLine="0"/>
        <w:jc w:val="center"/>
      </w:pPr>
      <w:r>
        <w:rPr>
          <w:b/>
        </w:rPr>
        <w:t xml:space="preserve">Contact: </w:t>
      </w:r>
      <w:r>
        <w:rPr>
          <w:u w:val="single" w:color="0562C1"/>
        </w:rPr>
        <w:t xml:space="preserve">Claudia Brunner, </w:t>
      </w:r>
      <w:r>
        <w:rPr>
          <w:color w:val="0562C1"/>
          <w:u w:val="single" w:color="0562C1"/>
        </w:rPr>
        <w:t>claudia.brunner@rotary.org</w:t>
      </w:r>
      <w:r>
        <w:rPr>
          <w:color w:val="0562C1"/>
        </w:rPr>
        <w:t xml:space="preserve"> </w:t>
      </w:r>
    </w:p>
    <w:p w:rsidR="006B1A4E" w:rsidRDefault="00FD3E0C">
      <w:pPr>
        <w:spacing w:after="0" w:line="240" w:lineRule="auto"/>
        <w:ind w:left="5" w:firstLine="0"/>
        <w:jc w:val="left"/>
      </w:pPr>
      <w:r>
        <w:rPr>
          <w:b/>
          <w:color w:val="FF0000"/>
        </w:rPr>
        <w:t xml:space="preserve"> </w:t>
      </w:r>
    </w:p>
    <w:sectPr w:rsidR="006B1A4E">
      <w:pgSz w:w="12240" w:h="15840"/>
      <w:pgMar w:top="1435" w:right="1436" w:bottom="1915"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4E"/>
    <w:rsid w:val="006B1A4E"/>
    <w:rsid w:val="00FD3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FBE1C-DF14-4DF5-9076-0D710621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48" w:lineRule="auto"/>
      <w:ind w:hanging="10"/>
      <w:jc w:val="both"/>
    </w:pPr>
    <w:rPr>
      <w:rFonts w:ascii="Georgia" w:eastAsia="Georgia" w:hAnsi="Georgia" w:cs="Georgia"/>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4721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brunnerc</dc:creator>
  <cp:keywords/>
  <cp:lastModifiedBy>Radioline</cp:lastModifiedBy>
  <cp:revision>2</cp:revision>
  <dcterms:created xsi:type="dcterms:W3CDTF">2020-08-26T11:19:00Z</dcterms:created>
  <dcterms:modified xsi:type="dcterms:W3CDTF">2020-08-26T11:19:00Z</dcterms:modified>
</cp:coreProperties>
</file>